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0" w:rsidRPr="00A2650F" w:rsidRDefault="004758D0" w:rsidP="006D6A54">
      <w:pPr>
        <w:autoSpaceDE w:val="0"/>
        <w:autoSpaceDN w:val="0"/>
        <w:adjustRightInd w:val="0"/>
        <w:jc w:val="center"/>
        <w:rPr>
          <w:rFonts w:ascii="CalisMTBol" w:hAnsi="CalisMTBol" w:cs="CalisMTBol"/>
          <w:sz w:val="20"/>
          <w:szCs w:val="20"/>
        </w:rPr>
      </w:pPr>
      <w:r w:rsidRPr="00A2650F">
        <w:rPr>
          <w:rFonts w:ascii="CalisMTBol" w:hAnsi="CalisMTBol" w:cs="CalisMTBol"/>
          <w:noProof/>
          <w:sz w:val="20"/>
          <w:szCs w:val="20"/>
        </w:rPr>
        <w:drawing>
          <wp:inline distT="0" distB="0" distL="0" distR="0" wp14:anchorId="6B431B7F" wp14:editId="0882B4CD">
            <wp:extent cx="2628900" cy="1018622"/>
            <wp:effectExtent l="0" t="0" r="0" b="0"/>
            <wp:docPr id="2" name="Picture 2" descr="M:\Department Info\Logos\HPP-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partment Info\Logos\HPP-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34" cy="10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4A" w:rsidRPr="000818EE" w:rsidRDefault="00BD6B4A" w:rsidP="006D6A54">
      <w:pPr>
        <w:autoSpaceDE w:val="0"/>
        <w:autoSpaceDN w:val="0"/>
        <w:adjustRightInd w:val="0"/>
        <w:jc w:val="center"/>
        <w:rPr>
          <w:rFonts w:ascii="CalisMTBol" w:hAnsi="CalisMTBol" w:cs="CalisMTBol"/>
          <w:sz w:val="23"/>
          <w:szCs w:val="23"/>
        </w:rPr>
      </w:pPr>
    </w:p>
    <w:p w:rsidR="006D6A54" w:rsidRPr="000818EE" w:rsidRDefault="006D6A54" w:rsidP="006D6A54">
      <w:pPr>
        <w:autoSpaceDE w:val="0"/>
        <w:autoSpaceDN w:val="0"/>
        <w:adjustRightInd w:val="0"/>
        <w:jc w:val="center"/>
        <w:rPr>
          <w:rFonts w:ascii="CalisMTBol" w:hAnsi="CalisMTBol" w:cs="CalisMTBol"/>
          <w:sz w:val="23"/>
          <w:szCs w:val="23"/>
        </w:rPr>
      </w:pPr>
      <w:r w:rsidRPr="000818EE">
        <w:rPr>
          <w:rFonts w:ascii="CalisMTBol" w:hAnsi="CalisMTBol" w:cs="CalisMTBol"/>
          <w:sz w:val="23"/>
          <w:szCs w:val="23"/>
        </w:rPr>
        <w:t>PHARMACY AND THERAPEUTICS COMMITTEE</w:t>
      </w:r>
    </w:p>
    <w:p w:rsidR="006D6A54" w:rsidRPr="000818EE" w:rsidRDefault="00913219" w:rsidP="006D6A54">
      <w:pPr>
        <w:autoSpaceDE w:val="0"/>
        <w:autoSpaceDN w:val="0"/>
        <w:adjustRightInd w:val="0"/>
        <w:jc w:val="center"/>
        <w:rPr>
          <w:rFonts w:ascii="CalisMTBol" w:hAnsi="CalisMTBol" w:cs="CalisMTBol"/>
          <w:sz w:val="23"/>
          <w:szCs w:val="23"/>
        </w:rPr>
      </w:pPr>
      <w:r>
        <w:rPr>
          <w:rFonts w:ascii="CalisMTBol" w:hAnsi="CalisMTBol" w:cs="CalisMTBol"/>
          <w:sz w:val="23"/>
          <w:szCs w:val="23"/>
        </w:rPr>
        <w:t>Ma</w:t>
      </w:r>
      <w:r w:rsidR="00B63916">
        <w:rPr>
          <w:rFonts w:ascii="CalisMTBol" w:hAnsi="CalisMTBol" w:cs="CalisMTBol"/>
          <w:sz w:val="23"/>
          <w:szCs w:val="23"/>
        </w:rPr>
        <w:t>y</w:t>
      </w:r>
      <w:bookmarkStart w:id="0" w:name="_GoBack"/>
      <w:bookmarkEnd w:id="0"/>
      <w:r w:rsidR="00DE45A6" w:rsidRPr="000818EE">
        <w:rPr>
          <w:rFonts w:ascii="CalisMTBol" w:hAnsi="CalisMTBol" w:cs="CalisMTBol"/>
          <w:sz w:val="23"/>
          <w:szCs w:val="23"/>
        </w:rPr>
        <w:t xml:space="preserve"> 201</w:t>
      </w:r>
      <w:r w:rsidR="004415B0">
        <w:rPr>
          <w:rFonts w:ascii="CalisMTBol" w:hAnsi="CalisMTBol" w:cs="CalisMTBol"/>
          <w:sz w:val="23"/>
          <w:szCs w:val="23"/>
        </w:rPr>
        <w:t>7</w:t>
      </w:r>
    </w:p>
    <w:p w:rsidR="006D6A54" w:rsidRPr="000818EE" w:rsidRDefault="006D6A54" w:rsidP="006D6A54">
      <w:pPr>
        <w:autoSpaceDE w:val="0"/>
        <w:autoSpaceDN w:val="0"/>
        <w:adjustRightInd w:val="0"/>
        <w:jc w:val="both"/>
        <w:rPr>
          <w:rFonts w:ascii="CalisMTBol" w:hAnsi="CalisMTBol" w:cs="CalisMTBol"/>
          <w:sz w:val="23"/>
          <w:szCs w:val="23"/>
        </w:rPr>
      </w:pPr>
    </w:p>
    <w:p w:rsidR="006D6A54" w:rsidRPr="000818EE" w:rsidRDefault="006D6A54" w:rsidP="00D07954">
      <w:pPr>
        <w:jc w:val="center"/>
        <w:rPr>
          <w:sz w:val="23"/>
          <w:szCs w:val="23"/>
        </w:rPr>
      </w:pPr>
      <w:r w:rsidRPr="000818EE">
        <w:rPr>
          <w:sz w:val="23"/>
          <w:szCs w:val="23"/>
        </w:rPr>
        <w:t xml:space="preserve">A meeting of the Health Partners Pharmacy and Therapeutics (P&amp;T) Committee was held on </w:t>
      </w:r>
      <w:r w:rsidR="007E0F29">
        <w:rPr>
          <w:sz w:val="23"/>
          <w:szCs w:val="23"/>
        </w:rPr>
        <w:t>May</w:t>
      </w:r>
      <w:r w:rsidR="00216E68" w:rsidRPr="000818EE">
        <w:rPr>
          <w:sz w:val="23"/>
          <w:szCs w:val="23"/>
        </w:rPr>
        <w:t xml:space="preserve"> </w:t>
      </w:r>
      <w:r w:rsidR="007E0F29">
        <w:rPr>
          <w:sz w:val="23"/>
          <w:szCs w:val="23"/>
        </w:rPr>
        <w:t>9</w:t>
      </w:r>
      <w:r w:rsidR="00E15C7C" w:rsidRPr="000818EE">
        <w:rPr>
          <w:sz w:val="23"/>
          <w:szCs w:val="23"/>
        </w:rPr>
        <w:t>, 201</w:t>
      </w:r>
      <w:r w:rsidR="00C21475">
        <w:rPr>
          <w:sz w:val="23"/>
          <w:szCs w:val="23"/>
        </w:rPr>
        <w:t>7</w:t>
      </w:r>
      <w:r w:rsidRPr="000818EE">
        <w:rPr>
          <w:sz w:val="23"/>
          <w:szCs w:val="23"/>
        </w:rPr>
        <w:t>. The following are the recommendations for the drugs reviewed at the meeting by the Committee:</w:t>
      </w:r>
    </w:p>
    <w:p w:rsidR="006D6A54" w:rsidRPr="00842EB8" w:rsidRDefault="006D6A54" w:rsidP="006D6A54">
      <w:pPr>
        <w:rPr>
          <w:sz w:val="20"/>
          <w:szCs w:val="20"/>
        </w:rPr>
      </w:pPr>
    </w:p>
    <w:tbl>
      <w:tblPr>
        <w:tblStyle w:val="TableGrid"/>
        <w:tblW w:w="14832" w:type="dxa"/>
        <w:jc w:val="center"/>
        <w:tblLayout w:type="fixed"/>
        <w:tblLook w:val="01E0" w:firstRow="1" w:lastRow="1" w:firstColumn="1" w:lastColumn="1" w:noHBand="0" w:noVBand="0"/>
      </w:tblPr>
      <w:tblGrid>
        <w:gridCol w:w="4212"/>
        <w:gridCol w:w="1350"/>
        <w:gridCol w:w="1080"/>
        <w:gridCol w:w="1365"/>
        <w:gridCol w:w="1365"/>
        <w:gridCol w:w="1365"/>
        <w:gridCol w:w="1365"/>
        <w:gridCol w:w="1365"/>
        <w:gridCol w:w="1365"/>
      </w:tblGrid>
      <w:tr w:rsidR="00232946" w:rsidRPr="00D440CB" w:rsidTr="0079747F">
        <w:trPr>
          <w:cantSplit/>
          <w:trHeight w:val="690"/>
          <w:tblHeader/>
          <w:jc w:val="center"/>
        </w:trPr>
        <w:tc>
          <w:tcPr>
            <w:tcW w:w="4212" w:type="dxa"/>
          </w:tcPr>
          <w:p w:rsidR="00232946" w:rsidRPr="00D440CB" w:rsidRDefault="00232946" w:rsidP="00F203BB">
            <w:pPr>
              <w:jc w:val="center"/>
              <w:rPr>
                <w:rFonts w:ascii="CalistoMT-BoldItalic" w:hAnsi="CalistoMT-BoldItalic" w:cs="CalistoMT-BoldItalic"/>
                <w:b/>
                <w:bCs/>
                <w:i/>
                <w:iCs/>
                <w:sz w:val="20"/>
                <w:szCs w:val="20"/>
              </w:rPr>
            </w:pPr>
          </w:p>
          <w:p w:rsidR="00232946" w:rsidRPr="00D440CB" w:rsidRDefault="00232946" w:rsidP="00F203BB">
            <w:pPr>
              <w:jc w:val="center"/>
              <w:rPr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/>
                <w:bCs/>
                <w:i/>
                <w:iCs/>
                <w:sz w:val="20"/>
                <w:szCs w:val="20"/>
              </w:rPr>
              <w:t>Drug Name</w:t>
            </w:r>
          </w:p>
        </w:tc>
        <w:tc>
          <w:tcPr>
            <w:tcW w:w="1350" w:type="dxa"/>
          </w:tcPr>
          <w:p w:rsidR="00232946" w:rsidRPr="00D440CB" w:rsidRDefault="00232946" w:rsidP="00F203B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</w:p>
          <w:p w:rsidR="00232946" w:rsidRPr="00D440CB" w:rsidRDefault="00232946" w:rsidP="00F203B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Add to</w:t>
            </w:r>
          </w:p>
          <w:p w:rsidR="00232946" w:rsidRPr="00D440CB" w:rsidRDefault="00232946" w:rsidP="00F203BB">
            <w:pPr>
              <w:jc w:val="center"/>
              <w:rPr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Formulary</w:t>
            </w:r>
          </w:p>
        </w:tc>
        <w:tc>
          <w:tcPr>
            <w:tcW w:w="1080" w:type="dxa"/>
          </w:tcPr>
          <w:p w:rsidR="00232946" w:rsidRPr="00D440CB" w:rsidRDefault="00232946" w:rsidP="00F203B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Prior</w:t>
            </w:r>
          </w:p>
          <w:p w:rsidR="00232946" w:rsidRPr="00D440CB" w:rsidRDefault="00232946" w:rsidP="00F203B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 xml:space="preserve"> Auth</w:t>
            </w:r>
          </w:p>
          <w:p w:rsidR="00232946" w:rsidRPr="00D440CB" w:rsidRDefault="00232946" w:rsidP="00F203BB">
            <w:pPr>
              <w:jc w:val="center"/>
              <w:rPr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Approved</w:t>
            </w:r>
          </w:p>
        </w:tc>
        <w:tc>
          <w:tcPr>
            <w:tcW w:w="1365" w:type="dxa"/>
          </w:tcPr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</w:p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9A1A7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DUR edit</w:t>
            </w:r>
          </w:p>
          <w:p w:rsidR="00232946" w:rsidRPr="009A1A7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9A1A7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9A1A7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Age edit</w:t>
            </w:r>
          </w:p>
        </w:tc>
        <w:tc>
          <w:tcPr>
            <w:tcW w:w="1365" w:type="dxa"/>
          </w:tcPr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9A1A7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Quantity Limits</w:t>
            </w:r>
          </w:p>
        </w:tc>
        <w:tc>
          <w:tcPr>
            <w:tcW w:w="1365" w:type="dxa"/>
          </w:tcPr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9A1A7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Prior Authorization removal</w:t>
            </w:r>
          </w:p>
        </w:tc>
        <w:tc>
          <w:tcPr>
            <w:tcW w:w="1365" w:type="dxa"/>
          </w:tcPr>
          <w:p w:rsidR="00232946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Grandfather Edit</w:t>
            </w:r>
          </w:p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8371B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6 days’ supply in previous 75 days</w:t>
            </w:r>
          </w:p>
        </w:tc>
        <w:tc>
          <w:tcPr>
            <w:tcW w:w="1365" w:type="dxa"/>
          </w:tcPr>
          <w:p w:rsidR="00232946" w:rsidRPr="00D440CB" w:rsidRDefault="00232946" w:rsidP="009A1A7B">
            <w:pPr>
              <w:autoSpaceDE w:val="0"/>
              <w:autoSpaceDN w:val="0"/>
              <w:adjustRightInd w:val="0"/>
              <w:jc w:val="center"/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</w:pPr>
            <w:r w:rsidRPr="00D440CB">
              <w:rPr>
                <w:rFonts w:ascii="CalistoMT-BoldItalic" w:hAnsi="CalistoMT-BoldItalic" w:cs="CalistoMT-BoldItalic"/>
                <w:bCs/>
                <w:i/>
                <w:iCs/>
                <w:sz w:val="20"/>
                <w:szCs w:val="20"/>
              </w:rPr>
              <w:t>Other</w:t>
            </w: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02617" w:rsidRDefault="00232946" w:rsidP="00A374CD">
            <w:pPr>
              <w:pStyle w:val="ListParagraph"/>
              <w:ind w:left="0"/>
            </w:pPr>
            <w:r w:rsidRPr="00F02617">
              <w:t xml:space="preserve">Anoro </w:t>
            </w:r>
            <w:r>
              <w:t>Ellipta</w:t>
            </w:r>
            <w:r w:rsidRPr="00F02617">
              <w:t xml:space="preserve"> 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t xml:space="preserve">Betamethasone dipropionate augmented 0.05% cream – pay 13 and older (deny under 13) 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75384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CD0569">
        <w:trPr>
          <w:cantSplit/>
          <w:trHeight w:val="292"/>
          <w:jc w:val="center"/>
        </w:trPr>
        <w:tc>
          <w:tcPr>
            <w:tcW w:w="4212" w:type="dxa"/>
          </w:tcPr>
          <w:p w:rsidR="00232946" w:rsidRPr="00212464" w:rsidRDefault="00232946" w:rsidP="00A374CD">
            <w:pPr>
              <w:spacing w:line="276" w:lineRule="auto"/>
            </w:pPr>
            <w:r w:rsidRPr="00CF7E83">
              <w:t>Brand Epipen 0.3mg and Epipen Jr 0.15mg (generics will pay)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 from formulary</w:t>
            </w:r>
          </w:p>
        </w:tc>
      </w:tr>
      <w:tr w:rsidR="00232946" w:rsidRPr="00D440CB" w:rsidTr="0079747F">
        <w:trPr>
          <w:cantSplit/>
          <w:trHeight w:val="292"/>
          <w:jc w:val="center"/>
        </w:trPr>
        <w:tc>
          <w:tcPr>
            <w:tcW w:w="4212" w:type="dxa"/>
          </w:tcPr>
          <w:p w:rsidR="00232946" w:rsidRPr="00CF7E83" w:rsidRDefault="00232946" w:rsidP="00A374CD">
            <w:pPr>
              <w:spacing w:line="276" w:lineRule="auto"/>
            </w:pPr>
            <w:r>
              <w:t>Breeze 2 Meter</w:t>
            </w:r>
          </w:p>
        </w:tc>
        <w:tc>
          <w:tcPr>
            <w:tcW w:w="1350" w:type="dxa"/>
          </w:tcPr>
          <w:p w:rsidR="00232946" w:rsidRPr="00D440CB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/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2905A4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2905A4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rPr>
                <w:sz w:val="20"/>
                <w:szCs w:val="20"/>
              </w:rPr>
              <w:t>Removal from formulary</w:t>
            </w: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Brilinta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Brilinta – 2 way edit with other platelet aggregation inhibitors, Defibrotide, &amp; Itraconazole.  Lookback of 6 d/s in the previous 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F5AAF">
            <w:pPr>
              <w:rPr>
                <w:highlight w:val="yellow"/>
              </w:rPr>
            </w:pPr>
            <w:r w:rsidRPr="00EB7BCB">
              <w:t>Brilinta</w:t>
            </w:r>
            <w:r>
              <w:t xml:space="preserve"> – pay 18 and older (deny under 18)</w:t>
            </w:r>
            <w:r w:rsidRPr="00EB7BCB">
              <w:t xml:space="preserve"> 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374CD">
            <w:pPr>
              <w:rPr>
                <w:highlight w:val="yellow"/>
              </w:rPr>
            </w:pPr>
            <w:r w:rsidRPr="00EB7BCB">
              <w:t xml:space="preserve">Brilinta 60 mg and 90 mg </w:t>
            </w:r>
            <w:r w:rsidRPr="00DA5C3A">
              <w:t>– 2/day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7963EB" w:rsidRDefault="00232946" w:rsidP="00271899">
            <w:pPr>
              <w:pStyle w:val="ListParagraph"/>
              <w:ind w:left="0"/>
            </w:pPr>
            <w:r>
              <w:t xml:space="preserve">Briviact – lookback </w:t>
            </w:r>
            <w:r w:rsidRPr="00A21076">
              <w:t>6 days in the previous 75 days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73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79747F">
        <w:trPr>
          <w:cantSplit/>
          <w:trHeight w:val="292"/>
          <w:jc w:val="center"/>
        </w:trPr>
        <w:tc>
          <w:tcPr>
            <w:tcW w:w="4212" w:type="dxa"/>
          </w:tcPr>
          <w:p w:rsidR="00232946" w:rsidRPr="00DA5C3A" w:rsidRDefault="00232946" w:rsidP="00A374CD">
            <w:r w:rsidRPr="00DA5C3A">
              <w:t>Cialis 2.5</w:t>
            </w:r>
            <w:r>
              <w:t xml:space="preserve"> </w:t>
            </w:r>
            <w:r w:rsidRPr="00DA5C3A">
              <w:t>mg and 5 mg</w:t>
            </w:r>
            <w:r>
              <w:t xml:space="preserve"> tablets – 1/day</w:t>
            </w:r>
          </w:p>
        </w:tc>
        <w:tc>
          <w:tcPr>
            <w:tcW w:w="1350" w:type="dxa"/>
          </w:tcPr>
          <w:p w:rsidR="00232946" w:rsidRPr="00D440CB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/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Pr="002905A4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rPr>
                <w:color w:val="000000"/>
              </w:rPr>
              <w:t xml:space="preserve">Clobetasol propionate 0.05% cream – pay 12 and older (deny under 12) 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75384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rPr>
                <w:color w:val="000000"/>
              </w:rPr>
              <w:lastRenderedPageBreak/>
              <w:t xml:space="preserve">Clobetasol propionate 0.05% </w:t>
            </w:r>
            <w:r w:rsidRPr="005B08DD">
              <w:t xml:space="preserve">foam </w:t>
            </w:r>
            <w:r w:rsidRPr="005B08DD">
              <w:rPr>
                <w:color w:val="000000"/>
              </w:rPr>
              <w:t>– pay 12 and older (deny under 12)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75384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rPr>
                <w:color w:val="000000"/>
              </w:rPr>
              <w:t>Clobetasol propionate 0.05% ointment</w:t>
            </w:r>
            <w:r w:rsidRPr="005B08DD">
              <w:t xml:space="preserve"> </w:t>
            </w:r>
            <w:r w:rsidRPr="005B08DD">
              <w:rPr>
                <w:color w:val="000000"/>
              </w:rPr>
              <w:t>– pay 12 and older (deny under 12)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271899">
            <w:pPr>
              <w:pStyle w:val="ListParagraph"/>
              <w:ind w:left="0"/>
            </w:pPr>
            <w:r w:rsidRPr="007963EB">
              <w:t>Combivent Respimat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192752">
            <w:pPr>
              <w:jc w:val="center"/>
            </w:pPr>
            <w:r w:rsidRPr="00863A5D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t xml:space="preserve">Desoximetasone 0.25% ointment </w:t>
            </w:r>
            <w:r w:rsidRPr="005B08DD">
              <w:rPr>
                <w:color w:val="000000"/>
              </w:rPr>
              <w:t>– pay 10 and older (deny under 10)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 w:rsidRPr="00062038">
              <w:t xml:space="preserve">DUR against all long-acting opioids (morphine sulfate sustained released, OxyContin, methadone, etc.). Lookback 6 d/s in previous 30 days 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 w:rsidRPr="00062038">
              <w:t>DUR against all short-acting opioids</w:t>
            </w:r>
            <w:r>
              <w:t xml:space="preserve"> </w:t>
            </w:r>
            <w:r w:rsidRPr="00062038">
              <w:t>(oxycodone, hydrocodone, tramadol, etc</w:t>
            </w:r>
            <w:r>
              <w:t>.</w:t>
            </w:r>
            <w:r w:rsidRPr="00062038">
              <w:t>).  Lookback 6 d/s in previous 30 days.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672D5" w:rsidRDefault="00232946" w:rsidP="00A374CD">
            <w:r w:rsidRPr="00F672D5">
              <w:t>Dutasteride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E36406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Dutasteride – 1/day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Dutasteride – 2 way edit with 5 alpha-reductase inhibitor.  Lookback of 6 d/s in the previous 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EB7BCB" w:rsidRDefault="00232946" w:rsidP="00AF5AAF">
            <w:r>
              <w:t>Dutasteride – pay 18 and older (deny under 18)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Effient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>
              <w:t>Effient – 2 way edit with other platelet aggregation inhibitors and Defibrotide. Lookback of 6 d/s in the previous 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F5AAF">
            <w:pPr>
              <w:rPr>
                <w:highlight w:val="yellow"/>
              </w:rPr>
            </w:pPr>
            <w:r w:rsidRPr="00EB7BCB">
              <w:t xml:space="preserve">Effient </w:t>
            </w:r>
            <w:r>
              <w:t>– pay 18 and older (deny under 18)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374CD">
            <w:pPr>
              <w:rPr>
                <w:highlight w:val="yellow"/>
              </w:rPr>
            </w:pPr>
            <w:r>
              <w:t>Effient 5 mg– 1/day, 10 mg– 1/day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02617" w:rsidRDefault="00232946" w:rsidP="00A374CD">
            <w:r w:rsidRPr="00F02617">
              <w:t>Ferrous sulfate 300 mg/5 mL liquid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t xml:space="preserve">Fluocinonide 0.1% cream </w:t>
            </w:r>
            <w:r w:rsidRPr="005B08DD">
              <w:rPr>
                <w:color w:val="000000"/>
              </w:rPr>
              <w:t>– pay 12 and older (deny under 12)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t xml:space="preserve">Halobetasol propionate 0.05% ointment </w:t>
            </w:r>
            <w:r w:rsidRPr="005B08DD">
              <w:rPr>
                <w:color w:val="000000"/>
              </w:rPr>
              <w:t>– pay 12 and older (deny under 12)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02617" w:rsidRDefault="00232946" w:rsidP="00A374CD">
            <w:pPr>
              <w:pStyle w:val="ListParagraph"/>
              <w:ind w:left="0"/>
            </w:pPr>
            <w:r>
              <w:lastRenderedPageBreak/>
              <w:t>Incruse Ellipta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7963EB" w:rsidRDefault="00232946" w:rsidP="00A374CD">
            <w:r w:rsidRPr="008F1004">
              <w:t>Januiva 25 mg and 50 mg tablets -2/day, 100 mg tablets – 1/day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A374CD">
            <w:r w:rsidRPr="00F672D5">
              <w:t>Januvia – 2 way edit with other DPP4s</w:t>
            </w:r>
          </w:p>
          <w:p w:rsidR="00232946" w:rsidRDefault="00232946" w:rsidP="00A374CD">
            <w:r>
              <w:t>Lookback of 6 d/s in the previous 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32C81" w:rsidRDefault="00232946" w:rsidP="00AF5AAF">
            <w:r w:rsidRPr="008F1004">
              <w:t>Januvia – pay 18 and older (deny under 18)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02617" w:rsidRDefault="00232946" w:rsidP="00A374CD">
            <w:r>
              <w:t>Jardiance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022CE8" w:rsidRDefault="00232946" w:rsidP="00A374CD">
            <w:r>
              <w:t>Jardiance – 2 way edit with other SGLT inhibitors.  Lookback of 6 d/s in the previous 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F5AAF">
            <w:pPr>
              <w:rPr>
                <w:highlight w:val="yellow"/>
              </w:rPr>
            </w:pPr>
            <w:r w:rsidRPr="00532C81">
              <w:t>Jardiance</w:t>
            </w:r>
            <w:r>
              <w:t xml:space="preserve"> – pay 18 and older (deny under 18)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9F3F5D" w:rsidRDefault="00232946" w:rsidP="00A374CD">
            <w:pPr>
              <w:rPr>
                <w:highlight w:val="yellow"/>
              </w:rPr>
            </w:pPr>
            <w:r w:rsidRPr="007963EB">
              <w:t>Jardiance</w:t>
            </w:r>
            <w:r>
              <w:t xml:space="preserve"> 10 mg and 25 mg tablets</w:t>
            </w:r>
            <w:r w:rsidRPr="007963EB">
              <w:t xml:space="preserve"> </w:t>
            </w:r>
            <w:r>
              <w:t>– 1/day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B603DC">
        <w:trPr>
          <w:cantSplit/>
          <w:trHeight w:val="292"/>
          <w:jc w:val="center"/>
        </w:trPr>
        <w:tc>
          <w:tcPr>
            <w:tcW w:w="4212" w:type="dxa"/>
            <w:vAlign w:val="bottom"/>
          </w:tcPr>
          <w:p w:rsidR="00232946" w:rsidRPr="00984466" w:rsidRDefault="00232946" w:rsidP="00040F6E">
            <w:r>
              <w:t>Long Acting Injectable Antipsychotics</w:t>
            </w:r>
          </w:p>
        </w:tc>
        <w:tc>
          <w:tcPr>
            <w:tcW w:w="1350" w:type="dxa"/>
          </w:tcPr>
          <w:p w:rsidR="00232946" w:rsidRPr="00D440CB" w:rsidRDefault="00232946" w:rsidP="00D76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D76180">
            <w:pPr>
              <w:jc w:val="center"/>
            </w:pPr>
            <w:r>
              <w:t>X</w:t>
            </w:r>
          </w:p>
        </w:tc>
        <w:tc>
          <w:tcPr>
            <w:tcW w:w="1365" w:type="dxa"/>
          </w:tcPr>
          <w:p w:rsidR="00232946" w:rsidRDefault="00232946" w:rsidP="00D76180"/>
        </w:tc>
        <w:tc>
          <w:tcPr>
            <w:tcW w:w="1365" w:type="dxa"/>
          </w:tcPr>
          <w:p w:rsidR="00232946" w:rsidRPr="00FE48E3" w:rsidRDefault="00232946" w:rsidP="00D76180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D76180">
            <w:pPr>
              <w:jc w:val="center"/>
            </w:pPr>
          </w:p>
        </w:tc>
        <w:tc>
          <w:tcPr>
            <w:tcW w:w="1365" w:type="dxa"/>
          </w:tcPr>
          <w:p w:rsidR="00232946" w:rsidRPr="00FE48E3" w:rsidRDefault="00232946" w:rsidP="00D76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FE48E3" w:rsidRDefault="00232946" w:rsidP="00D76180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FE48E3" w:rsidRDefault="00232946" w:rsidP="00D76180">
            <w:pPr>
              <w:rPr>
                <w:sz w:val="20"/>
                <w:szCs w:val="20"/>
              </w:rPr>
            </w:pPr>
          </w:p>
        </w:tc>
      </w:tr>
      <w:tr w:rsidR="00232946" w:rsidRPr="00D440CB" w:rsidTr="0079747F">
        <w:trPr>
          <w:cantSplit/>
          <w:trHeight w:val="292"/>
          <w:jc w:val="center"/>
        </w:trPr>
        <w:tc>
          <w:tcPr>
            <w:tcW w:w="4212" w:type="dxa"/>
          </w:tcPr>
          <w:p w:rsidR="00232946" w:rsidRPr="001B73B8" w:rsidRDefault="00232946" w:rsidP="00A374CD">
            <w:pPr>
              <w:rPr>
                <w:highlight w:val="yellow"/>
              </w:rPr>
            </w:pPr>
            <w:r w:rsidRPr="007B4878">
              <w:t>Magnesium Citrate – 592 mL/30 days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080" w:type="dxa"/>
          </w:tcPr>
          <w:p w:rsidR="00232946" w:rsidRPr="00D440CB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/>
        </w:tc>
        <w:tc>
          <w:tcPr>
            <w:tcW w:w="1365" w:type="dxa"/>
          </w:tcPr>
          <w:p w:rsidR="00232946" w:rsidRPr="0006392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Pr="0006392D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06392D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06392D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672D5" w:rsidRDefault="00232946" w:rsidP="00A374CD">
            <w:r w:rsidRPr="00F672D5">
              <w:t xml:space="preserve">Melatonin 1 mg – 3/day, 3 mg – 1/ day, 5 mg – 1/day 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672D5" w:rsidRDefault="00232946" w:rsidP="00A374CD">
            <w:r w:rsidRPr="00F672D5">
              <w:t>Melatonin 1 mg, 3 mg and 5 mg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5B08DD" w:rsidRDefault="00232946" w:rsidP="00AF5AAF">
            <w:r w:rsidRPr="005B08DD">
              <w:t xml:space="preserve">Mometasone furoate 0.1% solution </w:t>
            </w:r>
            <w:r w:rsidRPr="005B08DD">
              <w:rPr>
                <w:color w:val="000000"/>
              </w:rPr>
              <w:t>– pay 12 and older (deny under 12)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DA5C3A" w:rsidRDefault="00232946" w:rsidP="00A374CD">
            <w:pPr>
              <w:rPr>
                <w:b/>
              </w:rPr>
            </w:pPr>
            <w:r w:rsidRPr="00DA5C3A">
              <w:t>Otelza 30 mg tablets – 2/day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271899">
            <w:pPr>
              <w:pStyle w:val="ListParagraph"/>
              <w:ind w:left="0"/>
            </w:pPr>
            <w:r w:rsidRPr="007963EB">
              <w:t>Spiriva Handihaler and Respimat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19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271899">
            <w:pPr>
              <w:pStyle w:val="ListParagraph"/>
              <w:ind w:left="0"/>
            </w:pPr>
            <w:r w:rsidRPr="007963EB">
              <w:t>Stiolto Respimat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D440CB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Pr="00A41868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192752">
            <w:pPr>
              <w:jc w:val="center"/>
            </w:pPr>
            <w:r w:rsidRPr="00863A5D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DA5C3A" w:rsidRDefault="00232946" w:rsidP="00A374CD">
            <w:pPr>
              <w:rPr>
                <w:b/>
              </w:rPr>
            </w:pPr>
            <w:r w:rsidRPr="00DA5C3A">
              <w:rPr>
                <w:color w:val="000000"/>
              </w:rPr>
              <w:t xml:space="preserve">Symbicort 80-4.5 mcg inhaler, </w:t>
            </w:r>
            <w:r>
              <w:rPr>
                <w:color w:val="000000"/>
              </w:rPr>
              <w:t>Symbicort 160-4.5 mcg inhaler –</w:t>
            </w:r>
            <w:r w:rsidRPr="00DA5C3A">
              <w:rPr>
                <w:color w:val="000000"/>
              </w:rPr>
              <w:t xml:space="preserve"> 10.2</w:t>
            </w:r>
            <w:r>
              <w:rPr>
                <w:color w:val="000000"/>
              </w:rPr>
              <w:t xml:space="preserve"> mL</w:t>
            </w:r>
            <w:r w:rsidRPr="00DA5C3A">
              <w:rPr>
                <w:color w:val="000000"/>
              </w:rPr>
              <w:t xml:space="preserve">/30 days 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  <w:r w:rsidRPr="00616264">
              <w:t>X</w:t>
            </w: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F02617" w:rsidRDefault="00232946" w:rsidP="00A374CD">
            <w:r>
              <w:t>Tolterodine, Tolterodine ER</w:t>
            </w:r>
          </w:p>
        </w:tc>
        <w:tc>
          <w:tcPr>
            <w:tcW w:w="1350" w:type="dxa"/>
          </w:tcPr>
          <w:p w:rsidR="00232946" w:rsidRDefault="00232946" w:rsidP="00A374CD">
            <w:pPr>
              <w:jc w:val="center"/>
            </w:pPr>
            <w:r w:rsidRPr="00180208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A3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A374CD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44242C" w:rsidRDefault="00232946" w:rsidP="00AF5AAF">
            <w:r w:rsidRPr="00E33A9E">
              <w:t>Tolterodine, Tolterodine</w:t>
            </w:r>
            <w:r>
              <w:t xml:space="preserve"> LA – pay 18 and older (deny under 18)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D00AD3" w:rsidRDefault="00232946" w:rsidP="00AF5AAF">
            <w:pPr>
              <w:rPr>
                <w:sz w:val="20"/>
                <w:szCs w:val="20"/>
              </w:rPr>
            </w:pPr>
            <w:r w:rsidRPr="00D00AD3">
              <w:t>Tramadol – pay 21 and older (deny under  21)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9C3B5D">
            <w:pPr>
              <w:jc w:val="center"/>
            </w:pPr>
            <w:r w:rsidRPr="002D7FB1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Pr="007963EB" w:rsidRDefault="00232946" w:rsidP="00271899">
            <w:pPr>
              <w:pStyle w:val="ListParagraph"/>
              <w:ind w:left="0"/>
            </w:pPr>
            <w:r>
              <w:lastRenderedPageBreak/>
              <w:t>Trulicity – Step against insulin products; lookback 6 days in previous 90 days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Pr="00863A5D" w:rsidRDefault="00232946" w:rsidP="0019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75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Therapy Edit</w:t>
            </w: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271899">
            <w:pPr>
              <w:pStyle w:val="ListParagraph"/>
              <w:ind w:left="0"/>
            </w:pPr>
            <w:r w:rsidRPr="007963EB">
              <w:t>Tudorza</w:t>
            </w:r>
          </w:p>
        </w:tc>
        <w:tc>
          <w:tcPr>
            <w:tcW w:w="1350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192752">
            <w:pPr>
              <w:jc w:val="center"/>
            </w:pPr>
            <w:r w:rsidRPr="00863A5D"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271899">
            <w:pPr>
              <w:rPr>
                <w:sz w:val="20"/>
                <w:szCs w:val="20"/>
              </w:rPr>
            </w:pPr>
          </w:p>
        </w:tc>
      </w:tr>
      <w:tr w:rsidR="00232946" w:rsidRPr="00D440CB" w:rsidTr="00A9535F">
        <w:trPr>
          <w:cantSplit/>
          <w:trHeight w:val="292"/>
          <w:jc w:val="center"/>
        </w:trPr>
        <w:tc>
          <w:tcPr>
            <w:tcW w:w="4212" w:type="dxa"/>
          </w:tcPr>
          <w:p w:rsidR="00232946" w:rsidRDefault="00232946" w:rsidP="001B1DEF">
            <w:pPr>
              <w:pStyle w:val="ListParagraph"/>
              <w:ind w:left="0"/>
            </w:pPr>
            <w:r>
              <w:t>Will be combined into new Long Acting Injectable criteria:</w:t>
            </w:r>
          </w:p>
          <w:p w:rsidR="00232946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Abilify Maintena</w:t>
            </w:r>
          </w:p>
          <w:p w:rsidR="00232946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Aristada</w:t>
            </w:r>
          </w:p>
          <w:p w:rsidR="00232946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Invega Sustenna</w:t>
            </w:r>
          </w:p>
          <w:p w:rsidR="00232946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Invega Trinza</w:t>
            </w:r>
          </w:p>
          <w:p w:rsidR="00232946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Risperdal Consta</w:t>
            </w:r>
          </w:p>
          <w:p w:rsidR="00232946" w:rsidRPr="007D3850" w:rsidRDefault="00232946" w:rsidP="001B1DEF">
            <w:pPr>
              <w:pStyle w:val="ListParagraph"/>
              <w:numPr>
                <w:ilvl w:val="0"/>
                <w:numId w:val="19"/>
              </w:numPr>
            </w:pPr>
            <w:r>
              <w:t>Zyprexa Relprevv</w:t>
            </w:r>
          </w:p>
        </w:tc>
        <w:tc>
          <w:tcPr>
            <w:tcW w:w="1350" w:type="dxa"/>
          </w:tcPr>
          <w:p w:rsidR="00232946" w:rsidRDefault="00232946" w:rsidP="004D6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2946" w:rsidRDefault="00232946" w:rsidP="004D6916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4D6916">
            <w:pPr>
              <w:jc w:val="center"/>
            </w:pPr>
          </w:p>
        </w:tc>
        <w:tc>
          <w:tcPr>
            <w:tcW w:w="1365" w:type="dxa"/>
          </w:tcPr>
          <w:p w:rsidR="00232946" w:rsidRPr="00A41868" w:rsidRDefault="00232946" w:rsidP="004D6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040F6E">
            <w:pPr>
              <w:jc w:val="center"/>
            </w:pPr>
          </w:p>
        </w:tc>
        <w:tc>
          <w:tcPr>
            <w:tcW w:w="1365" w:type="dxa"/>
          </w:tcPr>
          <w:p w:rsidR="00232946" w:rsidRDefault="00232946" w:rsidP="001B1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 w:rsidR="00232946" w:rsidRDefault="00232946" w:rsidP="004D691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232946" w:rsidRDefault="00232946" w:rsidP="004D6916">
            <w:pPr>
              <w:rPr>
                <w:sz w:val="20"/>
                <w:szCs w:val="20"/>
              </w:rPr>
            </w:pPr>
          </w:p>
        </w:tc>
      </w:tr>
    </w:tbl>
    <w:p w:rsidR="00AA7392" w:rsidRPr="00842EB8" w:rsidRDefault="00AA7392">
      <w:pPr>
        <w:rPr>
          <w:sz w:val="20"/>
          <w:szCs w:val="20"/>
        </w:rPr>
      </w:pPr>
    </w:p>
    <w:sectPr w:rsidR="00AA7392" w:rsidRPr="00842EB8" w:rsidSect="0079747F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2AF"/>
    <w:multiLevelType w:val="hybridMultilevel"/>
    <w:tmpl w:val="E9D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E14"/>
    <w:multiLevelType w:val="hybridMultilevel"/>
    <w:tmpl w:val="F3A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0C63"/>
    <w:multiLevelType w:val="hybridMultilevel"/>
    <w:tmpl w:val="DF6EFF6C"/>
    <w:lvl w:ilvl="0" w:tplc="88BAD0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FCFA00">
      <w:start w:val="145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744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B242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74FC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626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E26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AA23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D8D2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04A6913"/>
    <w:multiLevelType w:val="hybridMultilevel"/>
    <w:tmpl w:val="D91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1F3C"/>
    <w:multiLevelType w:val="hybridMultilevel"/>
    <w:tmpl w:val="D9041BDE"/>
    <w:lvl w:ilvl="0" w:tplc="17CC6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5B62"/>
    <w:multiLevelType w:val="hybridMultilevel"/>
    <w:tmpl w:val="F82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3047F"/>
    <w:multiLevelType w:val="hybridMultilevel"/>
    <w:tmpl w:val="75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403D"/>
    <w:multiLevelType w:val="hybridMultilevel"/>
    <w:tmpl w:val="33021C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5E7C8A"/>
    <w:multiLevelType w:val="hybridMultilevel"/>
    <w:tmpl w:val="CFF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B3A83"/>
    <w:multiLevelType w:val="hybridMultilevel"/>
    <w:tmpl w:val="570E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B3DC3"/>
    <w:multiLevelType w:val="hybridMultilevel"/>
    <w:tmpl w:val="908E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874"/>
    <w:multiLevelType w:val="hybridMultilevel"/>
    <w:tmpl w:val="FB78E040"/>
    <w:lvl w:ilvl="0" w:tplc="17CC64A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E100156"/>
    <w:multiLevelType w:val="hybridMultilevel"/>
    <w:tmpl w:val="E9A01F74"/>
    <w:lvl w:ilvl="0" w:tplc="1F92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0E94">
      <w:start w:val="1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6F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C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2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2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0445F6"/>
    <w:multiLevelType w:val="hybridMultilevel"/>
    <w:tmpl w:val="46BC1B14"/>
    <w:lvl w:ilvl="0" w:tplc="83409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27ACA"/>
    <w:multiLevelType w:val="hybridMultilevel"/>
    <w:tmpl w:val="E7CAD6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1969A70">
      <w:numFmt w:val="bullet"/>
      <w:lvlText w:val="•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AF5F7C"/>
    <w:multiLevelType w:val="hybridMultilevel"/>
    <w:tmpl w:val="8662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87C74"/>
    <w:multiLevelType w:val="hybridMultilevel"/>
    <w:tmpl w:val="1BB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203E7"/>
    <w:multiLevelType w:val="hybridMultilevel"/>
    <w:tmpl w:val="E60265F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6E91425"/>
    <w:multiLevelType w:val="hybridMultilevel"/>
    <w:tmpl w:val="5F2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2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4"/>
    <w:rsid w:val="000159E2"/>
    <w:rsid w:val="000212B7"/>
    <w:rsid w:val="00030C27"/>
    <w:rsid w:val="00042895"/>
    <w:rsid w:val="000448D9"/>
    <w:rsid w:val="00047E3E"/>
    <w:rsid w:val="00063EAD"/>
    <w:rsid w:val="0006799F"/>
    <w:rsid w:val="00070040"/>
    <w:rsid w:val="00071A8F"/>
    <w:rsid w:val="000818EE"/>
    <w:rsid w:val="00085E13"/>
    <w:rsid w:val="000C24A4"/>
    <w:rsid w:val="000D3F35"/>
    <w:rsid w:val="000E6132"/>
    <w:rsid w:val="000E76B1"/>
    <w:rsid w:val="000F464E"/>
    <w:rsid w:val="00112A15"/>
    <w:rsid w:val="0011533C"/>
    <w:rsid w:val="00136195"/>
    <w:rsid w:val="001364F2"/>
    <w:rsid w:val="00145347"/>
    <w:rsid w:val="001546E2"/>
    <w:rsid w:val="001551D7"/>
    <w:rsid w:val="00171D7D"/>
    <w:rsid w:val="00172AD2"/>
    <w:rsid w:val="001753F7"/>
    <w:rsid w:val="00176D25"/>
    <w:rsid w:val="00192752"/>
    <w:rsid w:val="00192BE1"/>
    <w:rsid w:val="001B1DEF"/>
    <w:rsid w:val="001C2349"/>
    <w:rsid w:val="001C3ECE"/>
    <w:rsid w:val="001E3C4E"/>
    <w:rsid w:val="001E70A1"/>
    <w:rsid w:val="001F2E29"/>
    <w:rsid w:val="001F4926"/>
    <w:rsid w:val="001F4EEE"/>
    <w:rsid w:val="001F67CE"/>
    <w:rsid w:val="00200A6D"/>
    <w:rsid w:val="0021180E"/>
    <w:rsid w:val="00215F7C"/>
    <w:rsid w:val="00216E68"/>
    <w:rsid w:val="0022448B"/>
    <w:rsid w:val="002267D1"/>
    <w:rsid w:val="00232946"/>
    <w:rsid w:val="00235CC1"/>
    <w:rsid w:val="00241491"/>
    <w:rsid w:val="00243190"/>
    <w:rsid w:val="00244A71"/>
    <w:rsid w:val="00263BA9"/>
    <w:rsid w:val="00266FBE"/>
    <w:rsid w:val="002675DD"/>
    <w:rsid w:val="00271899"/>
    <w:rsid w:val="002734B9"/>
    <w:rsid w:val="002741E2"/>
    <w:rsid w:val="0027744C"/>
    <w:rsid w:val="00280E84"/>
    <w:rsid w:val="00290D87"/>
    <w:rsid w:val="0029349A"/>
    <w:rsid w:val="002958C0"/>
    <w:rsid w:val="002A51A4"/>
    <w:rsid w:val="002A5C2B"/>
    <w:rsid w:val="002A6C7F"/>
    <w:rsid w:val="002B00ED"/>
    <w:rsid w:val="002B2B3F"/>
    <w:rsid w:val="002D09AB"/>
    <w:rsid w:val="002F52CE"/>
    <w:rsid w:val="0030449C"/>
    <w:rsid w:val="0030524B"/>
    <w:rsid w:val="00307893"/>
    <w:rsid w:val="0032399F"/>
    <w:rsid w:val="00327B7B"/>
    <w:rsid w:val="00336F8A"/>
    <w:rsid w:val="00337D33"/>
    <w:rsid w:val="003469BE"/>
    <w:rsid w:val="003573C3"/>
    <w:rsid w:val="00364C64"/>
    <w:rsid w:val="00376A28"/>
    <w:rsid w:val="00386BCA"/>
    <w:rsid w:val="003910EB"/>
    <w:rsid w:val="003A1AE7"/>
    <w:rsid w:val="003A4252"/>
    <w:rsid w:val="003A63B4"/>
    <w:rsid w:val="003B7323"/>
    <w:rsid w:val="003C1D74"/>
    <w:rsid w:val="003D39EC"/>
    <w:rsid w:val="003D4ED2"/>
    <w:rsid w:val="003D77FB"/>
    <w:rsid w:val="003E632B"/>
    <w:rsid w:val="003E7494"/>
    <w:rsid w:val="00402F62"/>
    <w:rsid w:val="00403770"/>
    <w:rsid w:val="00421A1C"/>
    <w:rsid w:val="004239BF"/>
    <w:rsid w:val="00424289"/>
    <w:rsid w:val="00424A3C"/>
    <w:rsid w:val="004415B0"/>
    <w:rsid w:val="00443F4E"/>
    <w:rsid w:val="00451CC7"/>
    <w:rsid w:val="0045519E"/>
    <w:rsid w:val="004562C7"/>
    <w:rsid w:val="00473BC9"/>
    <w:rsid w:val="00474C86"/>
    <w:rsid w:val="0047580D"/>
    <w:rsid w:val="004758D0"/>
    <w:rsid w:val="00485495"/>
    <w:rsid w:val="00486176"/>
    <w:rsid w:val="00492B32"/>
    <w:rsid w:val="004960E4"/>
    <w:rsid w:val="004A28DD"/>
    <w:rsid w:val="004A76BD"/>
    <w:rsid w:val="004B53F3"/>
    <w:rsid w:val="004C7B1E"/>
    <w:rsid w:val="004D0D57"/>
    <w:rsid w:val="004D26A1"/>
    <w:rsid w:val="004D45A7"/>
    <w:rsid w:val="004D63C7"/>
    <w:rsid w:val="004D6916"/>
    <w:rsid w:val="004D6A08"/>
    <w:rsid w:val="004E2923"/>
    <w:rsid w:val="004E7792"/>
    <w:rsid w:val="00501332"/>
    <w:rsid w:val="005206AF"/>
    <w:rsid w:val="0052761C"/>
    <w:rsid w:val="005335F0"/>
    <w:rsid w:val="00534AD1"/>
    <w:rsid w:val="005400B4"/>
    <w:rsid w:val="00544D33"/>
    <w:rsid w:val="00553B81"/>
    <w:rsid w:val="00556985"/>
    <w:rsid w:val="00566098"/>
    <w:rsid w:val="0057009D"/>
    <w:rsid w:val="00581A41"/>
    <w:rsid w:val="005826C5"/>
    <w:rsid w:val="00582FB6"/>
    <w:rsid w:val="00597797"/>
    <w:rsid w:val="00597BFB"/>
    <w:rsid w:val="005C52F9"/>
    <w:rsid w:val="005D2A36"/>
    <w:rsid w:val="005E4F57"/>
    <w:rsid w:val="005E64BB"/>
    <w:rsid w:val="005F5272"/>
    <w:rsid w:val="00601C79"/>
    <w:rsid w:val="0061731A"/>
    <w:rsid w:val="00621541"/>
    <w:rsid w:val="0062484E"/>
    <w:rsid w:val="00632ADF"/>
    <w:rsid w:val="00636130"/>
    <w:rsid w:val="006477B8"/>
    <w:rsid w:val="00647FCA"/>
    <w:rsid w:val="00652DD3"/>
    <w:rsid w:val="00664063"/>
    <w:rsid w:val="00664F07"/>
    <w:rsid w:val="00676F1E"/>
    <w:rsid w:val="00697473"/>
    <w:rsid w:val="006A00A1"/>
    <w:rsid w:val="006B15C6"/>
    <w:rsid w:val="006C085A"/>
    <w:rsid w:val="006C16F3"/>
    <w:rsid w:val="006C276B"/>
    <w:rsid w:val="006C4A16"/>
    <w:rsid w:val="006C4E7B"/>
    <w:rsid w:val="006C6962"/>
    <w:rsid w:val="006C7A90"/>
    <w:rsid w:val="006D6A54"/>
    <w:rsid w:val="006E1716"/>
    <w:rsid w:val="006E2577"/>
    <w:rsid w:val="006F4BA6"/>
    <w:rsid w:val="007003E6"/>
    <w:rsid w:val="00707164"/>
    <w:rsid w:val="007101C1"/>
    <w:rsid w:val="007133C1"/>
    <w:rsid w:val="00725CE1"/>
    <w:rsid w:val="00731834"/>
    <w:rsid w:val="007318EB"/>
    <w:rsid w:val="00731E99"/>
    <w:rsid w:val="007332A3"/>
    <w:rsid w:val="007342E0"/>
    <w:rsid w:val="00736906"/>
    <w:rsid w:val="007501CA"/>
    <w:rsid w:val="00751681"/>
    <w:rsid w:val="00763CBA"/>
    <w:rsid w:val="00763FF7"/>
    <w:rsid w:val="0077441A"/>
    <w:rsid w:val="00781BDD"/>
    <w:rsid w:val="0079252C"/>
    <w:rsid w:val="0079747F"/>
    <w:rsid w:val="007B0639"/>
    <w:rsid w:val="007B2979"/>
    <w:rsid w:val="007C0751"/>
    <w:rsid w:val="007C1E83"/>
    <w:rsid w:val="007C70BA"/>
    <w:rsid w:val="007D59D3"/>
    <w:rsid w:val="007D6B92"/>
    <w:rsid w:val="007E0F29"/>
    <w:rsid w:val="007E1494"/>
    <w:rsid w:val="007E37AA"/>
    <w:rsid w:val="007E7A59"/>
    <w:rsid w:val="007F2D44"/>
    <w:rsid w:val="007F44D3"/>
    <w:rsid w:val="007F74C4"/>
    <w:rsid w:val="00800BE7"/>
    <w:rsid w:val="00802765"/>
    <w:rsid w:val="008042C6"/>
    <w:rsid w:val="00804E46"/>
    <w:rsid w:val="00813F78"/>
    <w:rsid w:val="00815CA9"/>
    <w:rsid w:val="0082096B"/>
    <w:rsid w:val="00820AC0"/>
    <w:rsid w:val="00823CBE"/>
    <w:rsid w:val="008279D0"/>
    <w:rsid w:val="00827A08"/>
    <w:rsid w:val="0083104C"/>
    <w:rsid w:val="008341E2"/>
    <w:rsid w:val="00835BD9"/>
    <w:rsid w:val="008371BB"/>
    <w:rsid w:val="00842EB8"/>
    <w:rsid w:val="008536CE"/>
    <w:rsid w:val="00860176"/>
    <w:rsid w:val="008604E7"/>
    <w:rsid w:val="008803B5"/>
    <w:rsid w:val="00886131"/>
    <w:rsid w:val="00894A49"/>
    <w:rsid w:val="008A3BC3"/>
    <w:rsid w:val="008B2AF3"/>
    <w:rsid w:val="008B4D0A"/>
    <w:rsid w:val="008B53B1"/>
    <w:rsid w:val="008C269A"/>
    <w:rsid w:val="008C7BA5"/>
    <w:rsid w:val="008D29BC"/>
    <w:rsid w:val="008D662C"/>
    <w:rsid w:val="008D70AE"/>
    <w:rsid w:val="008E11F2"/>
    <w:rsid w:val="008F22B6"/>
    <w:rsid w:val="00900A00"/>
    <w:rsid w:val="00902F56"/>
    <w:rsid w:val="00913219"/>
    <w:rsid w:val="00917210"/>
    <w:rsid w:val="00923460"/>
    <w:rsid w:val="00936407"/>
    <w:rsid w:val="009463F0"/>
    <w:rsid w:val="00946C8F"/>
    <w:rsid w:val="009629C2"/>
    <w:rsid w:val="00966764"/>
    <w:rsid w:val="00971C71"/>
    <w:rsid w:val="00987BA5"/>
    <w:rsid w:val="0099785F"/>
    <w:rsid w:val="009A1A7B"/>
    <w:rsid w:val="009A2B56"/>
    <w:rsid w:val="009A7BAE"/>
    <w:rsid w:val="009B2112"/>
    <w:rsid w:val="009B3AD2"/>
    <w:rsid w:val="009B46DA"/>
    <w:rsid w:val="009B60D3"/>
    <w:rsid w:val="009C0424"/>
    <w:rsid w:val="009C3B5D"/>
    <w:rsid w:val="009C4A9B"/>
    <w:rsid w:val="009D46D1"/>
    <w:rsid w:val="009D50CA"/>
    <w:rsid w:val="009E34ED"/>
    <w:rsid w:val="009E753A"/>
    <w:rsid w:val="00A03345"/>
    <w:rsid w:val="00A04FF4"/>
    <w:rsid w:val="00A077BF"/>
    <w:rsid w:val="00A1350F"/>
    <w:rsid w:val="00A13AD8"/>
    <w:rsid w:val="00A22B1E"/>
    <w:rsid w:val="00A2650F"/>
    <w:rsid w:val="00A32360"/>
    <w:rsid w:val="00A3526F"/>
    <w:rsid w:val="00A374CD"/>
    <w:rsid w:val="00A42D78"/>
    <w:rsid w:val="00A43946"/>
    <w:rsid w:val="00A62286"/>
    <w:rsid w:val="00A6312E"/>
    <w:rsid w:val="00A66D64"/>
    <w:rsid w:val="00A71E10"/>
    <w:rsid w:val="00A90E2D"/>
    <w:rsid w:val="00A93813"/>
    <w:rsid w:val="00AA6427"/>
    <w:rsid w:val="00AA71EB"/>
    <w:rsid w:val="00AA7392"/>
    <w:rsid w:val="00AB4752"/>
    <w:rsid w:val="00AB7DBB"/>
    <w:rsid w:val="00AC2974"/>
    <w:rsid w:val="00AC2B04"/>
    <w:rsid w:val="00AD5636"/>
    <w:rsid w:val="00AD7189"/>
    <w:rsid w:val="00AE0C6F"/>
    <w:rsid w:val="00AE4883"/>
    <w:rsid w:val="00AE5A2E"/>
    <w:rsid w:val="00B018C3"/>
    <w:rsid w:val="00B01E76"/>
    <w:rsid w:val="00B02A76"/>
    <w:rsid w:val="00B04A75"/>
    <w:rsid w:val="00B1404C"/>
    <w:rsid w:val="00B14D42"/>
    <w:rsid w:val="00B20148"/>
    <w:rsid w:val="00B23F5E"/>
    <w:rsid w:val="00B3607F"/>
    <w:rsid w:val="00B504EA"/>
    <w:rsid w:val="00B63916"/>
    <w:rsid w:val="00B734C5"/>
    <w:rsid w:val="00B74550"/>
    <w:rsid w:val="00B777C1"/>
    <w:rsid w:val="00B80D7D"/>
    <w:rsid w:val="00B85490"/>
    <w:rsid w:val="00B90CB7"/>
    <w:rsid w:val="00B96055"/>
    <w:rsid w:val="00BA3113"/>
    <w:rsid w:val="00BB2794"/>
    <w:rsid w:val="00BB47A4"/>
    <w:rsid w:val="00BB4847"/>
    <w:rsid w:val="00BB5D3F"/>
    <w:rsid w:val="00BC46E8"/>
    <w:rsid w:val="00BD6B4A"/>
    <w:rsid w:val="00BD7CA3"/>
    <w:rsid w:val="00BE2E98"/>
    <w:rsid w:val="00BF4BA6"/>
    <w:rsid w:val="00C02229"/>
    <w:rsid w:val="00C02CB8"/>
    <w:rsid w:val="00C124C7"/>
    <w:rsid w:val="00C21462"/>
    <w:rsid w:val="00C21475"/>
    <w:rsid w:val="00C24A03"/>
    <w:rsid w:val="00C24CE8"/>
    <w:rsid w:val="00C331F9"/>
    <w:rsid w:val="00C3569E"/>
    <w:rsid w:val="00C377B0"/>
    <w:rsid w:val="00C43E00"/>
    <w:rsid w:val="00C52215"/>
    <w:rsid w:val="00C65213"/>
    <w:rsid w:val="00C74B42"/>
    <w:rsid w:val="00C75E73"/>
    <w:rsid w:val="00C92FD0"/>
    <w:rsid w:val="00C95E09"/>
    <w:rsid w:val="00CA1468"/>
    <w:rsid w:val="00CA4A81"/>
    <w:rsid w:val="00CB4638"/>
    <w:rsid w:val="00CE2A58"/>
    <w:rsid w:val="00CF3195"/>
    <w:rsid w:val="00CF3FE8"/>
    <w:rsid w:val="00D02A80"/>
    <w:rsid w:val="00D060F8"/>
    <w:rsid w:val="00D07954"/>
    <w:rsid w:val="00D24584"/>
    <w:rsid w:val="00D2580A"/>
    <w:rsid w:val="00D3583F"/>
    <w:rsid w:val="00D35B2D"/>
    <w:rsid w:val="00D415A7"/>
    <w:rsid w:val="00D426AE"/>
    <w:rsid w:val="00D440CB"/>
    <w:rsid w:val="00D50692"/>
    <w:rsid w:val="00D523F0"/>
    <w:rsid w:val="00D559DB"/>
    <w:rsid w:val="00D671A1"/>
    <w:rsid w:val="00D677D3"/>
    <w:rsid w:val="00D71012"/>
    <w:rsid w:val="00D74BB0"/>
    <w:rsid w:val="00D76180"/>
    <w:rsid w:val="00D83231"/>
    <w:rsid w:val="00D8695E"/>
    <w:rsid w:val="00D916C2"/>
    <w:rsid w:val="00DA0AD4"/>
    <w:rsid w:val="00DB3B4F"/>
    <w:rsid w:val="00DC151D"/>
    <w:rsid w:val="00DC2F1D"/>
    <w:rsid w:val="00DC4D82"/>
    <w:rsid w:val="00DD3EAC"/>
    <w:rsid w:val="00DE0A39"/>
    <w:rsid w:val="00DE45A6"/>
    <w:rsid w:val="00DF32F6"/>
    <w:rsid w:val="00DF3BE8"/>
    <w:rsid w:val="00E148D7"/>
    <w:rsid w:val="00E15C7C"/>
    <w:rsid w:val="00E20A2C"/>
    <w:rsid w:val="00E31084"/>
    <w:rsid w:val="00E33124"/>
    <w:rsid w:val="00E3610B"/>
    <w:rsid w:val="00E41BEB"/>
    <w:rsid w:val="00E522AD"/>
    <w:rsid w:val="00E5427D"/>
    <w:rsid w:val="00E546FA"/>
    <w:rsid w:val="00E63B32"/>
    <w:rsid w:val="00E71ED0"/>
    <w:rsid w:val="00E8183A"/>
    <w:rsid w:val="00E83AE7"/>
    <w:rsid w:val="00E908AE"/>
    <w:rsid w:val="00E9240B"/>
    <w:rsid w:val="00E9408F"/>
    <w:rsid w:val="00EA3715"/>
    <w:rsid w:val="00EB5554"/>
    <w:rsid w:val="00ED1005"/>
    <w:rsid w:val="00EE2408"/>
    <w:rsid w:val="00EE6829"/>
    <w:rsid w:val="00EF72C3"/>
    <w:rsid w:val="00EF7C5F"/>
    <w:rsid w:val="00F0250F"/>
    <w:rsid w:val="00F02577"/>
    <w:rsid w:val="00F12FC3"/>
    <w:rsid w:val="00F265DA"/>
    <w:rsid w:val="00F26F1C"/>
    <w:rsid w:val="00F3070E"/>
    <w:rsid w:val="00F3189D"/>
    <w:rsid w:val="00F369FC"/>
    <w:rsid w:val="00F4443A"/>
    <w:rsid w:val="00F7236D"/>
    <w:rsid w:val="00F812A6"/>
    <w:rsid w:val="00F828F8"/>
    <w:rsid w:val="00F83F6D"/>
    <w:rsid w:val="00F84A9C"/>
    <w:rsid w:val="00F94119"/>
    <w:rsid w:val="00FA7CAD"/>
    <w:rsid w:val="00FB05D7"/>
    <w:rsid w:val="00FD25A8"/>
    <w:rsid w:val="00FD52BE"/>
    <w:rsid w:val="00FD6D61"/>
    <w:rsid w:val="00FE119F"/>
    <w:rsid w:val="00FE2613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4D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A1A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A1A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4D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A1A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A1A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AF42-BFD1-4A3C-8154-CB66F630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PARTNERS, Inc.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Napoli, Nina A.</dc:creator>
  <cp:lastModifiedBy>Napoli, Nina A.</cp:lastModifiedBy>
  <cp:revision>19</cp:revision>
  <dcterms:created xsi:type="dcterms:W3CDTF">2017-05-09T19:07:00Z</dcterms:created>
  <dcterms:modified xsi:type="dcterms:W3CDTF">2017-05-12T18:59:00Z</dcterms:modified>
</cp:coreProperties>
</file>